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241" w:rsidRDefault="00D73241" w:rsidP="00D73241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D. Cameron and R. Simeon, “Intergovernmental Relations </w:t>
      </w:r>
      <w:r w:rsidR="008E2F8B">
        <w:rPr>
          <w:rFonts w:ascii="Times New Roman" w:hAnsi="Times New Roman"/>
          <w:sz w:val="22"/>
        </w:rPr>
        <w:t>in Canada: The Emergence of Collaborative</w:t>
      </w:r>
      <w:r>
        <w:rPr>
          <w:rFonts w:ascii="Times New Roman" w:hAnsi="Times New Roman"/>
          <w:sz w:val="22"/>
        </w:rPr>
        <w:t xml:space="preserve"> Federalism,” </w:t>
      </w:r>
      <w:proofErr w:type="spellStart"/>
      <w:r>
        <w:rPr>
          <w:rFonts w:ascii="Times New Roman" w:hAnsi="Times New Roman"/>
          <w:i/>
          <w:sz w:val="22"/>
        </w:rPr>
        <w:t>Publius</w:t>
      </w:r>
      <w:proofErr w:type="spellEnd"/>
      <w:r>
        <w:rPr>
          <w:rFonts w:ascii="Times New Roman" w:hAnsi="Times New Roman"/>
          <w:i/>
          <w:sz w:val="22"/>
        </w:rPr>
        <w:t xml:space="preserve"> </w:t>
      </w:r>
      <w:r>
        <w:rPr>
          <w:rFonts w:ascii="Times New Roman" w:hAnsi="Times New Roman"/>
          <w:sz w:val="22"/>
        </w:rPr>
        <w:t>32 (2002): 49-71</w:t>
      </w:r>
    </w:p>
    <w:p w:rsidR="00D73241" w:rsidRDefault="00D73241" w:rsidP="00D73241">
      <w:pPr>
        <w:spacing w:after="120"/>
        <w:rPr>
          <w:rFonts w:ascii="Times New Roman" w:hAnsi="Times New Roman"/>
          <w:sz w:val="22"/>
        </w:rPr>
      </w:pPr>
    </w:p>
    <w:p w:rsidR="00D73241" w:rsidRDefault="00D73241" w:rsidP="00D73241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D73241" w:rsidRDefault="00D73241" w:rsidP="00D73241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Article describes and explains recent trends in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fed-ism and IGR in Canada. “Executive federalism” or “federal-provincial diplomacy” has long been considered a defining characteristic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IGR, with its combination of federalism and Westminster-style cabinet govt. However, in recent years, there have been a number of changes. Cameron and Simeon argue that executive federalism has increasingly been informed by practices of “collaborative federalism” which is characterized by the principal of co-determination of national policies rather than Ottawa-led cooperative federalism, or the later periods of competitive federalism.</w:t>
      </w:r>
    </w:p>
    <w:p w:rsidR="00D73241" w:rsidRDefault="00D73241" w:rsidP="00D73241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D73241" w:rsidRPr="00D73241" w:rsidRDefault="00D73241" w:rsidP="00D7324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D73241">
        <w:rPr>
          <w:rFonts w:ascii="Times New Roman" w:hAnsi="Times New Roman"/>
          <w:sz w:val="22"/>
        </w:rPr>
        <w:t>Cameron and Simeon admit up-front that they are not posting a dramatic break with past conceptualizations of federalism in Canada (new trends have roots in what preceded it</w:t>
      </w:r>
      <w:r>
        <w:rPr>
          <w:rFonts w:ascii="Times New Roman" w:hAnsi="Times New Roman"/>
          <w:sz w:val="22"/>
        </w:rPr>
        <w:t xml:space="preserve"> and there is much continuity</w:t>
      </w:r>
      <w:r w:rsidRPr="00D73241">
        <w:rPr>
          <w:rFonts w:ascii="Times New Roman" w:hAnsi="Times New Roman"/>
          <w:sz w:val="22"/>
        </w:rPr>
        <w:t>)</w:t>
      </w:r>
    </w:p>
    <w:p w:rsidR="005C4616" w:rsidRDefault="005C4616" w:rsidP="00D7324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Hx</w:t>
      </w:r>
      <w:proofErr w:type="spellEnd"/>
      <w:r>
        <w:rPr>
          <w:rFonts w:ascii="Times New Roman" w:hAnsi="Times New Roman"/>
          <w:sz w:val="22"/>
        </w:rPr>
        <w:t xml:space="preserve"> of IGR in Canada:</w:t>
      </w:r>
    </w:p>
    <w:p w:rsidR="005C4616" w:rsidRDefault="005C4616" w:rsidP="005C461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Cooperative fed-ism made the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welfare state possible</w:t>
      </w:r>
    </w:p>
    <w:p w:rsidR="005C4616" w:rsidRDefault="005C4616" w:rsidP="005C461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Fed-</w:t>
      </w:r>
      <w:proofErr w:type="spellStart"/>
      <w:r>
        <w:rPr>
          <w:rFonts w:ascii="Times New Roman" w:hAnsi="Times New Roman"/>
          <w:sz w:val="22"/>
        </w:rPr>
        <w:t>prov</w:t>
      </w:r>
      <w:proofErr w:type="spellEnd"/>
      <w:r>
        <w:rPr>
          <w:rFonts w:ascii="Times New Roman" w:hAnsi="Times New Roman"/>
          <w:sz w:val="22"/>
        </w:rPr>
        <w:t xml:space="preserve"> conflict began with the Quiet Revolution, and came to a head with NEP program with Alberta, and the Constitution with Quebec</w:t>
      </w:r>
    </w:p>
    <w:p w:rsidR="005C4616" w:rsidRDefault="005C4616" w:rsidP="005C461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Divided country regionally and posed difficult questions about the character of Canada’s political communities, and the role of </w:t>
      </w:r>
      <w:proofErr w:type="spellStart"/>
      <w:r>
        <w:rPr>
          <w:rFonts w:ascii="Times New Roman" w:hAnsi="Times New Roman"/>
          <w:sz w:val="22"/>
        </w:rPr>
        <w:t>govts</w:t>
      </w:r>
      <w:proofErr w:type="spellEnd"/>
      <w:r>
        <w:rPr>
          <w:rFonts w:ascii="Times New Roman" w:hAnsi="Times New Roman"/>
          <w:sz w:val="22"/>
        </w:rPr>
        <w:t xml:space="preserve"> in defining/shaping them</w:t>
      </w:r>
    </w:p>
    <w:p w:rsidR="005C4616" w:rsidRDefault="005C4616" w:rsidP="005C461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By mid-1980s IGR agenda had changed again, and Mulroney attempted to bring Quebec back in through Constitutional amendment – </w:t>
      </w:r>
      <w:proofErr w:type="spellStart"/>
      <w:r>
        <w:rPr>
          <w:rFonts w:ascii="Times New Roman" w:hAnsi="Times New Roman"/>
          <w:sz w:val="22"/>
        </w:rPr>
        <w:t>Meech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Lakc</w:t>
      </w:r>
      <w:proofErr w:type="spellEnd"/>
    </w:p>
    <w:p w:rsidR="005C4616" w:rsidRDefault="005C4616" w:rsidP="005C461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Citizen opposition to executive federalism grew during this period</w:t>
      </w:r>
    </w:p>
    <w:p w:rsidR="005C4616" w:rsidRDefault="005C4616" w:rsidP="005C461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Big change in the provinces in the 90s – with the politics of fiscal deficits driving the shift to a new model of IGR – broad consensus that public sector debt too high</w:t>
      </w:r>
    </w:p>
    <w:p w:rsidR="008E2F8B" w:rsidRDefault="005C4616" w:rsidP="005C461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Ottawa’s power over provinces reduced with cuts to </w:t>
      </w:r>
      <w:r w:rsidR="008E2F8B">
        <w:rPr>
          <w:rFonts w:ascii="Times New Roman" w:hAnsi="Times New Roman"/>
          <w:sz w:val="22"/>
        </w:rPr>
        <w:t>fiscal transfers, which resulted in “secondary downloading” of monies from provinces to their agencies (hospitals, municipalities, universities/colleges, schools, social agencies, etc)</w:t>
      </w:r>
    </w:p>
    <w:p w:rsidR="008E2F8B" w:rsidRDefault="008E2F8B" w:rsidP="008E2F8B">
      <w:pPr>
        <w:pStyle w:val="ListParagraph"/>
        <w:spacing w:after="120"/>
        <w:ind w:left="1440"/>
        <w:rPr>
          <w:rFonts w:ascii="Times New Roman" w:hAnsi="Times New Roman"/>
          <w:sz w:val="22"/>
        </w:rPr>
      </w:pPr>
    </w:p>
    <w:p w:rsidR="008E2F8B" w:rsidRPr="00652577" w:rsidRDefault="00652577" w:rsidP="00652577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Collaborative Federalism</w:t>
      </w:r>
    </w:p>
    <w:p w:rsidR="008E2F8B" w:rsidRPr="008E2F8B" w:rsidRDefault="008E2F8B" w:rsidP="008E2F8B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8E2F8B">
        <w:rPr>
          <w:rFonts w:ascii="Times New Roman" w:hAnsi="Times New Roman"/>
          <w:sz w:val="22"/>
        </w:rPr>
        <w:t xml:space="preserve">These developments set the stage for </w:t>
      </w:r>
      <w:r w:rsidRPr="008E2F8B">
        <w:rPr>
          <w:rFonts w:ascii="Times New Roman" w:hAnsi="Times New Roman"/>
          <w:sz w:val="22"/>
          <w:u w:val="single"/>
        </w:rPr>
        <w:t>collaborative federalism</w:t>
      </w:r>
      <w:r w:rsidRPr="008E2F8B">
        <w:rPr>
          <w:rFonts w:ascii="Times New Roman" w:hAnsi="Times New Roman"/>
          <w:sz w:val="22"/>
        </w:rPr>
        <w:t xml:space="preserve"> – a process by which national goals are achieved not by federal </w:t>
      </w:r>
      <w:proofErr w:type="spellStart"/>
      <w:r w:rsidRPr="008E2F8B">
        <w:rPr>
          <w:rFonts w:ascii="Times New Roman" w:hAnsi="Times New Roman"/>
          <w:sz w:val="22"/>
        </w:rPr>
        <w:t>govt</w:t>
      </w:r>
      <w:proofErr w:type="spellEnd"/>
      <w:r w:rsidRPr="008E2F8B">
        <w:rPr>
          <w:rFonts w:ascii="Times New Roman" w:hAnsi="Times New Roman"/>
          <w:sz w:val="22"/>
        </w:rPr>
        <w:t xml:space="preserve"> acting alone or even shaping provincial behaviour through exercising its spending power, but rather by some or all provinces and territories active collectively</w:t>
      </w:r>
    </w:p>
    <w:p w:rsidR="008E2F8B" w:rsidRPr="008E2F8B" w:rsidRDefault="008E2F8B" w:rsidP="008E2F8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8E2F8B">
        <w:rPr>
          <w:rFonts w:ascii="Times New Roman" w:hAnsi="Times New Roman"/>
          <w:sz w:val="22"/>
        </w:rPr>
        <w:t>Can take two forms: (1) Fed/</w:t>
      </w:r>
      <w:proofErr w:type="spellStart"/>
      <w:r w:rsidRPr="008E2F8B">
        <w:rPr>
          <w:rFonts w:ascii="Times New Roman" w:hAnsi="Times New Roman"/>
          <w:sz w:val="22"/>
        </w:rPr>
        <w:t>Prov</w:t>
      </w:r>
      <w:proofErr w:type="spellEnd"/>
      <w:r w:rsidRPr="008E2F8B">
        <w:rPr>
          <w:rFonts w:ascii="Times New Roman" w:hAnsi="Times New Roman"/>
          <w:sz w:val="22"/>
        </w:rPr>
        <w:t xml:space="preserve">/Territory acting all together in a balance; or (2) </w:t>
      </w:r>
      <w:proofErr w:type="spellStart"/>
      <w:r w:rsidRPr="008E2F8B">
        <w:rPr>
          <w:rFonts w:ascii="Times New Roman" w:hAnsi="Times New Roman"/>
          <w:sz w:val="22"/>
        </w:rPr>
        <w:t>Prov</w:t>
      </w:r>
      <w:proofErr w:type="spellEnd"/>
      <w:r w:rsidRPr="008E2F8B">
        <w:rPr>
          <w:rFonts w:ascii="Times New Roman" w:hAnsi="Times New Roman"/>
          <w:sz w:val="22"/>
        </w:rPr>
        <w:t>/Territory acting together with Ottawa on the sidelines</w:t>
      </w:r>
    </w:p>
    <w:p w:rsidR="008E2F8B" w:rsidRDefault="008E2F8B" w:rsidP="008E2F8B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8E2F8B">
        <w:rPr>
          <w:rFonts w:ascii="Times New Roman" w:hAnsi="Times New Roman"/>
          <w:sz w:val="22"/>
        </w:rPr>
        <w:t>Collaborative model ha</w:t>
      </w:r>
      <w:r>
        <w:rPr>
          <w:rFonts w:ascii="Times New Roman" w:hAnsi="Times New Roman"/>
          <w:sz w:val="22"/>
        </w:rPr>
        <w:t>s important impact of institutions of IGR – perhaps the most obvious being on the role/position of the Annual Premiers Conference (APC)</w:t>
      </w:r>
    </w:p>
    <w:p w:rsidR="002A31C7" w:rsidRDefault="008E2F8B" w:rsidP="008E2F8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APC has evolved into significant IGR institution – and has become more prominent as the frequency and significance of fed-</w:t>
      </w:r>
      <w:proofErr w:type="spellStart"/>
      <w:r>
        <w:rPr>
          <w:rFonts w:ascii="Times New Roman" w:hAnsi="Times New Roman"/>
          <w:sz w:val="22"/>
        </w:rPr>
        <w:t>prov</w:t>
      </w:r>
      <w:proofErr w:type="spellEnd"/>
      <w:r>
        <w:rPr>
          <w:rFonts w:ascii="Times New Roman" w:hAnsi="Times New Roman"/>
          <w:sz w:val="22"/>
        </w:rPr>
        <w:t xml:space="preserve"> First Ministers</w:t>
      </w:r>
      <w:r w:rsidR="002A31C7">
        <w:rPr>
          <w:rFonts w:ascii="Times New Roman" w:hAnsi="Times New Roman"/>
          <w:sz w:val="22"/>
        </w:rPr>
        <w:t>’ Conferences (FMC) have declin</w:t>
      </w:r>
      <w:r>
        <w:rPr>
          <w:rFonts w:ascii="Times New Roman" w:hAnsi="Times New Roman"/>
          <w:sz w:val="22"/>
        </w:rPr>
        <w:t>e</w:t>
      </w:r>
      <w:r w:rsidR="002A31C7">
        <w:rPr>
          <w:rFonts w:ascii="Times New Roman" w:hAnsi="Times New Roman"/>
          <w:sz w:val="22"/>
        </w:rPr>
        <w:t>d</w:t>
      </w:r>
    </w:p>
    <w:p w:rsidR="002A31C7" w:rsidRDefault="002A31C7" w:rsidP="008E2F8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Ministerial Councils are also on the rise (in terms of numbers as well as institutional status) – i.e. the Provincial/Territorial Council on Social Policy Renewal has been particularly active</w:t>
      </w:r>
    </w:p>
    <w:p w:rsidR="002A31C7" w:rsidRDefault="002A31C7" w:rsidP="002A31C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Common threads in Collaborative Federalism</w:t>
      </w:r>
    </w:p>
    <w:p w:rsidR="002A31C7" w:rsidRDefault="002A31C7" w:rsidP="008E2F8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Equality btw provinces and Ottawa underlined by fact that councils/meetings co-chaired by a federal and provincial minister</w:t>
      </w:r>
    </w:p>
    <w:p w:rsidR="002A31C7" w:rsidRDefault="002A31C7" w:rsidP="008E2F8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Northern Territories are now integrated with the provinces</w:t>
      </w:r>
    </w:p>
    <w:p w:rsidR="002A31C7" w:rsidRDefault="002A31C7" w:rsidP="008E2F8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Relative absence of Quebec – though usually its representatives participate in the meetings, it has disassociated itself from some agreements</w:t>
      </w:r>
    </w:p>
    <w:p w:rsidR="002A31C7" w:rsidRDefault="002A31C7" w:rsidP="008E2F8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Most agreements stress that formal constitutional powers assigned to </w:t>
      </w:r>
      <w:proofErr w:type="spellStart"/>
      <w:r>
        <w:rPr>
          <w:rFonts w:ascii="Times New Roman" w:hAnsi="Times New Roman"/>
          <w:sz w:val="22"/>
        </w:rPr>
        <w:t>govts</w:t>
      </w:r>
      <w:proofErr w:type="spellEnd"/>
      <w:r>
        <w:rPr>
          <w:rFonts w:ascii="Times New Roman" w:hAnsi="Times New Roman"/>
          <w:sz w:val="22"/>
        </w:rPr>
        <w:t xml:space="preserve"> remain unchanged – goal is to exercise these powers in a “coordinated manner”</w:t>
      </w:r>
    </w:p>
    <w:p w:rsidR="00652577" w:rsidRDefault="002A31C7" w:rsidP="008E2F8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Consistent with doctrine of NPM</w:t>
      </w:r>
    </w:p>
    <w:p w:rsidR="00652577" w:rsidRDefault="00652577" w:rsidP="0065257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Hwr</w:t>
      </w:r>
      <w:proofErr w:type="spellEnd"/>
      <w:r>
        <w:rPr>
          <w:rFonts w:ascii="Times New Roman" w:hAnsi="Times New Roman"/>
          <w:sz w:val="22"/>
        </w:rPr>
        <w:t>, compared to Germany or EU, Canadian IGR remain highly fluid and ad hoc – process has no constitutional or legislative base, little backup by bureaucrats, no formal decision-rules, and no capacity for authoritative decision-making</w:t>
      </w:r>
    </w:p>
    <w:p w:rsidR="00652577" w:rsidRDefault="00652577" w:rsidP="00652577">
      <w:pPr>
        <w:pStyle w:val="ListParagraph"/>
        <w:spacing w:after="120"/>
        <w:rPr>
          <w:rFonts w:ascii="Times New Roman" w:hAnsi="Times New Roman"/>
          <w:sz w:val="22"/>
        </w:rPr>
      </w:pPr>
    </w:p>
    <w:p w:rsidR="00652577" w:rsidRDefault="00652577" w:rsidP="0065257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Additionally, there are many potential costs to the collaborative model (coming out of the EU):</w:t>
      </w:r>
    </w:p>
    <w:p w:rsidR="00652577" w:rsidRDefault="00652577" w:rsidP="006525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Joint-decision trap: emerges when autonomous, interdependent actors committed to consensus decision making seek to make a decision </w:t>
      </w:r>
    </w:p>
    <w:p w:rsidR="00652577" w:rsidRPr="00652577" w:rsidRDefault="00652577" w:rsidP="006525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</w:t>
      </w:r>
      <w:r w:rsidRPr="00652577">
        <w:rPr>
          <w:rFonts w:ascii="Times New Roman" w:hAnsi="Times New Roman"/>
          <w:sz w:val="22"/>
        </w:rPr>
        <w:t>ime and cost of coordination can escalate and solutions may be avoided or be distilled to lowest common denominator</w:t>
      </w:r>
    </w:p>
    <w:p w:rsidR="00652577" w:rsidRDefault="00652577" w:rsidP="006525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Political/institutional concerns of actors – for status and recognition – can dominate the substantive issues</w:t>
      </w:r>
    </w:p>
    <w:p w:rsidR="00652577" w:rsidRDefault="00652577" w:rsidP="006525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Issues meeting the democratic expectations of citizens</w:t>
      </w:r>
    </w:p>
    <w:p w:rsidR="00652577" w:rsidRDefault="00652577" w:rsidP="00652577">
      <w:pPr>
        <w:pStyle w:val="ListParagraph"/>
        <w:numPr>
          <w:ilvl w:val="2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Banting</w:t>
      </w:r>
      <w:proofErr w:type="spellEnd"/>
      <w:r>
        <w:rPr>
          <w:rFonts w:ascii="Times New Roman" w:hAnsi="Times New Roman"/>
          <w:sz w:val="22"/>
        </w:rPr>
        <w:t>: federalism values and democratic values are often in tension</w:t>
      </w:r>
    </w:p>
    <w:p w:rsidR="00652577" w:rsidRDefault="00652577" w:rsidP="00652577">
      <w:pPr>
        <w:spacing w:after="120"/>
        <w:rPr>
          <w:rFonts w:ascii="Times New Roman" w:hAnsi="Times New Roman"/>
          <w:b/>
          <w:sz w:val="22"/>
        </w:rPr>
      </w:pPr>
    </w:p>
    <w:p w:rsidR="00652577" w:rsidRDefault="00652577" w:rsidP="00652577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Conclusion</w:t>
      </w:r>
    </w:p>
    <w:p w:rsidR="00652577" w:rsidRPr="00652577" w:rsidRDefault="00652577" w:rsidP="0065257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652577">
        <w:rPr>
          <w:rFonts w:ascii="Times New Roman" w:hAnsi="Times New Roman"/>
          <w:sz w:val="22"/>
        </w:rPr>
        <w:t xml:space="preserve">Collaborative federalism needs to be set in larger context of </w:t>
      </w:r>
      <w:proofErr w:type="spellStart"/>
      <w:r w:rsidRPr="00652577">
        <w:rPr>
          <w:rFonts w:ascii="Times New Roman" w:hAnsi="Times New Roman"/>
          <w:sz w:val="22"/>
        </w:rPr>
        <w:t>Cdn</w:t>
      </w:r>
      <w:proofErr w:type="spellEnd"/>
      <w:r w:rsidRPr="00652577">
        <w:rPr>
          <w:rFonts w:ascii="Times New Roman" w:hAnsi="Times New Roman"/>
          <w:sz w:val="22"/>
        </w:rPr>
        <w:t xml:space="preserve"> multi-level governance</w:t>
      </w:r>
    </w:p>
    <w:p w:rsidR="00652577" w:rsidRDefault="00652577" w:rsidP="0065257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Strong forces push for further elaboration of the collaborative model:</w:t>
      </w:r>
    </w:p>
    <w:p w:rsidR="00652577" w:rsidRDefault="00652577" w:rsidP="006525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Relatively even balance of federal and provincial power and statue</w:t>
      </w:r>
    </w:p>
    <w:p w:rsidR="00652577" w:rsidRDefault="00652577" w:rsidP="006525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High degree of interdependence among </w:t>
      </w:r>
      <w:proofErr w:type="spellStart"/>
      <w:r>
        <w:rPr>
          <w:rFonts w:ascii="Times New Roman" w:hAnsi="Times New Roman"/>
          <w:sz w:val="22"/>
        </w:rPr>
        <w:t>govts</w:t>
      </w:r>
      <w:proofErr w:type="spellEnd"/>
    </w:p>
    <w:p w:rsidR="00652577" w:rsidRDefault="00652577" w:rsidP="006525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Desire for administrative efficiency and clarity</w:t>
      </w:r>
    </w:p>
    <w:p w:rsidR="00652577" w:rsidRDefault="00652577" w:rsidP="006525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Interests of citizens in the collective ability of </w:t>
      </w:r>
      <w:proofErr w:type="spellStart"/>
      <w:r>
        <w:rPr>
          <w:rFonts w:ascii="Times New Roman" w:hAnsi="Times New Roman"/>
          <w:sz w:val="22"/>
        </w:rPr>
        <w:t>govts</w:t>
      </w:r>
      <w:proofErr w:type="spellEnd"/>
      <w:r>
        <w:rPr>
          <w:rFonts w:ascii="Times New Roman" w:hAnsi="Times New Roman"/>
          <w:sz w:val="22"/>
        </w:rPr>
        <w:t xml:space="preserve"> to meet their needs</w:t>
      </w:r>
    </w:p>
    <w:p w:rsidR="003C0BE8" w:rsidRDefault="00652577" w:rsidP="0065257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Yet, much of the logic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federalism stands in the way – including the lack of a unifying national party system, lack of mobility of officials and politicians btw the two levels, competition to gain credit and avoid blame, the importance of regional and ideological divisions among </w:t>
      </w:r>
      <w:proofErr w:type="spellStart"/>
      <w:r>
        <w:rPr>
          <w:rFonts w:ascii="Times New Roman" w:hAnsi="Times New Roman"/>
          <w:sz w:val="22"/>
        </w:rPr>
        <w:t>govts</w:t>
      </w:r>
      <w:proofErr w:type="spellEnd"/>
      <w:r>
        <w:rPr>
          <w:rFonts w:ascii="Times New Roman" w:hAnsi="Times New Roman"/>
          <w:sz w:val="22"/>
        </w:rPr>
        <w:t>, inequality in wealth distribution among provinces – all push towards adversarial relationships</w:t>
      </w:r>
    </w:p>
    <w:p w:rsidR="003C0BE8" w:rsidRDefault="003C0BE8" w:rsidP="0065257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Collaborative federalism will grow, or not, depending on the needs of federal and provincial elites, and their constituents.</w:t>
      </w:r>
    </w:p>
    <w:p w:rsidR="00D73241" w:rsidRPr="003C0BE8" w:rsidRDefault="003C0BE8" w:rsidP="003C0BE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Regardless, it is part of the federal “condition” in Canada</w:t>
      </w:r>
    </w:p>
    <w:sectPr w:rsidR="00D73241" w:rsidRPr="003C0BE8" w:rsidSect="00D73241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D6152"/>
    <w:multiLevelType w:val="hybridMultilevel"/>
    <w:tmpl w:val="13EE01B8"/>
    <w:lvl w:ilvl="0" w:tplc="FB70888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3241"/>
    <w:rsid w:val="002A31C7"/>
    <w:rsid w:val="003C0BE8"/>
    <w:rsid w:val="005C4616"/>
    <w:rsid w:val="00652577"/>
    <w:rsid w:val="008E2F8B"/>
    <w:rsid w:val="00D7324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2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73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504</Words>
  <Characters>2877</Characters>
  <Application>Microsoft Macintosh Word</Application>
  <DocSecurity>0</DocSecurity>
  <Lines>23</Lines>
  <Paragraphs>5</Paragraphs>
  <ScaleCrop>false</ScaleCrop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2012-05-03T14:24:00Z</dcterms:created>
  <dcterms:modified xsi:type="dcterms:W3CDTF">2012-05-03T15:22:00Z</dcterms:modified>
</cp:coreProperties>
</file>